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1B1B41" w:rsidRPr="001B1B41">
        <w:rPr>
          <w:bCs/>
          <w:sz w:val="22"/>
        </w:rPr>
        <w:t>S3-151795</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77A21">
        <w:rPr>
          <w:rFonts w:ascii="Arial" w:eastAsia="MS Mincho" w:hAnsi="Arial"/>
          <w:b/>
          <w:lang w:eastAsia="ja-JP"/>
        </w:rPr>
        <w:t>Discussion of</w:t>
      </w:r>
      <w:r w:rsidR="00BD5C5C">
        <w:rPr>
          <w:rFonts w:ascii="Arial" w:eastAsia="MS Mincho" w:hAnsi="Arial"/>
          <w:b/>
          <w:lang w:eastAsia="ja-JP"/>
        </w:rPr>
        <w:t xml:space="preserve"> </w:t>
      </w:r>
      <w:r w:rsidR="00BD5C5C" w:rsidRPr="00BD5C5C">
        <w:rPr>
          <w:rFonts w:ascii="Arial" w:eastAsia="MS Mincho" w:hAnsi="Arial"/>
          <w:b/>
          <w:lang w:eastAsia="ja-JP"/>
        </w:rPr>
        <w:t>LS on authentication and encryption between UE and WLAN for aggregation</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50F27" w:rsidRPr="00B50F27">
        <w:rPr>
          <w:rFonts w:ascii="Arial" w:eastAsia="MS Mincho" w:hAnsi="Arial"/>
          <w:b/>
          <w:lang w:eastAsia="ja-JP"/>
        </w:rPr>
        <w:t>7.7.2</w:t>
      </w:r>
      <w:r w:rsidR="00B50F27" w:rsidRPr="00B50F27">
        <w:rPr>
          <w:rFonts w:ascii="Arial" w:eastAsia="MS Mincho" w:hAnsi="Arial"/>
          <w:b/>
          <w:lang w:eastAsia="ja-JP"/>
        </w:rPr>
        <w:tab/>
        <w:t>Dual Connectivity for LTE</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BD5C5C">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BD5C5C" w:rsidRDefault="00BD5C5C" w:rsidP="00BD5C5C">
      <w:pPr>
        <w:spacing w:before="120" w:after="0"/>
        <w:ind w:left="2127" w:hanging="2127"/>
        <w:jc w:val="center"/>
        <w:rPr>
          <w:rFonts w:ascii="Arial" w:eastAsia="MS Mincho" w:hAnsi="Arial"/>
          <w:i/>
          <w:lang w:eastAsia="ja-JP"/>
        </w:rPr>
      </w:pPr>
    </w:p>
    <w:p w:rsidR="00FC3886" w:rsidRDefault="00BD5C5C" w:rsidP="00BD5C5C">
      <w:pPr>
        <w:rPr>
          <w:rFonts w:ascii="Arial" w:eastAsia="MS Mincho" w:hAnsi="Arial"/>
          <w:i/>
          <w:lang w:eastAsia="ja-JP"/>
        </w:rPr>
      </w:pPr>
      <w:r w:rsidRPr="00BD5C5C">
        <w:rPr>
          <w:rFonts w:ascii="Arial" w:eastAsia="MS Mincho" w:hAnsi="Arial" w:cs="Arial"/>
          <w:i/>
          <w:lang w:eastAsia="ja-JP"/>
        </w:rPr>
        <w:t>SA3#80 receive</w:t>
      </w:r>
      <w:r w:rsidR="006B6CC6">
        <w:rPr>
          <w:rFonts w:ascii="Arial" w:eastAsia="MS Mincho" w:hAnsi="Arial" w:cs="Arial"/>
          <w:i/>
          <w:lang w:eastAsia="ja-JP"/>
        </w:rPr>
        <w:t>d</w:t>
      </w:r>
      <w:r w:rsidRPr="00BD5C5C">
        <w:rPr>
          <w:rFonts w:ascii="Arial" w:eastAsia="MS Mincho" w:hAnsi="Arial" w:cs="Arial"/>
          <w:i/>
          <w:lang w:eastAsia="ja-JP"/>
        </w:rPr>
        <w:t xml:space="preserve"> an LS from RAN2 entitled “LS on authentication and encryption between UE and WLAN for aggregation”</w:t>
      </w:r>
      <w:r>
        <w:rPr>
          <w:rFonts w:ascii="Arial" w:eastAsia="MS Mincho" w:hAnsi="Arial" w:cs="Arial"/>
          <w:i/>
          <w:lang w:eastAsia="ja-JP"/>
        </w:rPr>
        <w:t xml:space="preserve"> (</w:t>
      </w:r>
      <w:r w:rsidRPr="00BD5C5C">
        <w:rPr>
          <w:rFonts w:ascii="Arial" w:eastAsia="MS Mincho" w:hAnsi="Arial" w:cs="Arial"/>
          <w:i/>
          <w:lang w:eastAsia="ja-JP"/>
        </w:rPr>
        <w:t>R2-152915</w:t>
      </w:r>
      <w:r>
        <w:rPr>
          <w:rFonts w:ascii="Arial" w:eastAsia="MS Mincho" w:hAnsi="Arial" w:cs="Arial"/>
          <w:i/>
          <w:lang w:eastAsia="ja-JP"/>
        </w:rPr>
        <w:t xml:space="preserve"> = </w:t>
      </w:r>
      <w:r w:rsidRPr="00EB5C03">
        <w:rPr>
          <w:rFonts w:ascii="Arial" w:eastAsia="MS Mincho" w:hAnsi="Arial" w:cs="Arial"/>
          <w:i/>
          <w:lang w:eastAsia="ja-JP"/>
        </w:rPr>
        <w:t>S3-15</w:t>
      </w:r>
      <w:r w:rsidR="00EB5C03">
        <w:rPr>
          <w:rFonts w:ascii="Arial" w:eastAsia="MS Mincho" w:hAnsi="Arial" w:cs="Arial"/>
          <w:i/>
          <w:lang w:eastAsia="ja-JP"/>
        </w:rPr>
        <w:t>1732</w:t>
      </w:r>
      <w:r>
        <w:rPr>
          <w:rFonts w:ascii="Arial" w:eastAsia="MS Mincho" w:hAnsi="Arial" w:cs="Arial"/>
          <w:i/>
          <w:lang w:eastAsia="ja-JP"/>
        </w:rPr>
        <w:t xml:space="preserve">). The present contribution proposes </w:t>
      </w:r>
      <w:r w:rsidR="00EB5C03">
        <w:rPr>
          <w:rFonts w:ascii="Arial" w:eastAsia="MS Mincho" w:hAnsi="Arial" w:cs="Arial"/>
          <w:i/>
          <w:lang w:eastAsia="ja-JP"/>
        </w:rPr>
        <w:t xml:space="preserve">material as a basis for </w:t>
      </w:r>
      <w:r>
        <w:rPr>
          <w:rFonts w:ascii="Arial" w:eastAsia="MS Mincho" w:hAnsi="Arial" w:cs="Arial"/>
          <w:i/>
          <w:lang w:eastAsia="ja-JP"/>
        </w:rPr>
        <w:t>a draft reply to RAN2.</w:t>
      </w:r>
      <w:r w:rsidR="006B6CC6">
        <w:rPr>
          <w:rFonts w:ascii="Arial" w:eastAsia="MS Mincho" w:hAnsi="Arial" w:cs="Arial"/>
          <w:i/>
          <w:lang w:eastAsia="ja-JP"/>
        </w:rPr>
        <w:t xml:space="preserve"> </w:t>
      </w:r>
    </w:p>
    <w:p w:rsidR="00FC3886" w:rsidRDefault="00907FED" w:rsidP="00FC3886">
      <w:pPr>
        <w:pStyle w:val="Heading1"/>
      </w:pPr>
      <w:r>
        <w:t>Discussion</w:t>
      </w:r>
    </w:p>
    <w:p w:rsidR="00852D13" w:rsidRDefault="00BD5C5C" w:rsidP="00BD5C5C">
      <w:r>
        <w:t>RAN2 informs SA3 in their LS that “</w:t>
      </w:r>
      <w:r w:rsidRPr="00BD5C5C">
        <w:rPr>
          <w:i/>
        </w:rPr>
        <w:t>RAN2 agreed to specify LTE-WLAN aggregation whereby a UE in RRC_CONNECTED is configured by the eNB to utilize radio resources of LTE and WLAN</w:t>
      </w:r>
      <w:r>
        <w:t>.”</w:t>
      </w:r>
      <w:r w:rsidR="00907FED">
        <w:t xml:space="preserve"> </w:t>
      </w:r>
      <w:r>
        <w:t xml:space="preserve"> The LS also contains the information that “</w:t>
      </w:r>
      <w:r w:rsidRPr="00BD5C5C">
        <w:rPr>
          <w:i/>
        </w:rPr>
        <w:t>PDCP security is used for all data transferred over WLAN between the eNB and the UE</w:t>
      </w:r>
      <w:r>
        <w:t xml:space="preserve">.” </w:t>
      </w:r>
    </w:p>
    <w:p w:rsidR="00BD5C5C" w:rsidRDefault="00BD5C5C" w:rsidP="00BD5C5C">
      <w:r>
        <w:t xml:space="preserve">RAN2 has the following action on SA3: </w:t>
      </w:r>
    </w:p>
    <w:p w:rsidR="00BD5C5C" w:rsidRPr="00BD5C5C" w:rsidRDefault="00BD5C5C" w:rsidP="00BD5C5C">
      <w:pPr>
        <w:ind w:left="720"/>
        <w:rPr>
          <w:i/>
        </w:rPr>
      </w:pPr>
      <w:r>
        <w:t>“</w:t>
      </w:r>
      <w:r w:rsidRPr="00BD5C5C">
        <w:rPr>
          <w:i/>
        </w:rPr>
        <w:t>RAN2 kindly asks SA3 to evaluate whether a mechanism allowing WLAN authentication and encryption between the UE and WLAN access for UE utilizing LTE-WLAN aggregation operation based on eNB assistance without the need for connectivity to a CN node (such as AAA) is feasible and to evaluate the security impacts of this mechanism. Such a mechanism should not have any impact to the existing 802.11 specifications.</w:t>
      </w:r>
    </w:p>
    <w:p w:rsidR="00356CAE" w:rsidRDefault="00BD5C5C" w:rsidP="001B3697">
      <w:pPr>
        <w:ind w:left="720"/>
        <w:rPr>
          <w:b/>
          <w:sz w:val="24"/>
          <w:szCs w:val="24"/>
        </w:rPr>
      </w:pPr>
      <w:r w:rsidRPr="00BD5C5C">
        <w:rPr>
          <w:i/>
        </w:rPr>
        <w:tab/>
        <w:t>Besides, RAN2 would like to know whether it would be acceptable from security point of view to not use any WLAN authentication and encryption for a UE utilizing LTE-WLAN aggregation</w:t>
      </w:r>
      <w:r>
        <w:t>.”</w:t>
      </w:r>
    </w:p>
    <w:p w:rsidR="00356CAE" w:rsidRPr="00356CAE" w:rsidRDefault="00356CAE" w:rsidP="00BD5C5C">
      <w:pPr>
        <w:rPr>
          <w:b/>
          <w:sz w:val="24"/>
          <w:szCs w:val="24"/>
        </w:rPr>
      </w:pPr>
      <w:r w:rsidRPr="00356CAE">
        <w:rPr>
          <w:b/>
          <w:sz w:val="24"/>
          <w:szCs w:val="24"/>
        </w:rPr>
        <w:t>1.1 Is WLAN authentication and encryption needed for LTE-WLAN aggregation?</w:t>
      </w:r>
    </w:p>
    <w:p w:rsidR="00BD5C5C" w:rsidRDefault="00BD5C5C" w:rsidP="00BD5C5C">
      <w:r>
        <w:t xml:space="preserve">We start the discussion with the second part of the action because, if no WLAN </w:t>
      </w:r>
      <w:r w:rsidRPr="00BD5C5C">
        <w:t>authentication and encryption</w:t>
      </w:r>
      <w:r>
        <w:t xml:space="preserve"> was needed, then no further thoughts about any mechanisms enabling it would be required. </w:t>
      </w:r>
      <w:r w:rsidR="00356CAE">
        <w:t>We believe</w:t>
      </w:r>
      <w:r w:rsidR="00B84E28">
        <w:t>, however,</w:t>
      </w:r>
      <w:r w:rsidR="00356CAE">
        <w:t xml:space="preserve"> it is needed, in spite of the PDCP security extending between UE and eNB, for the following reasons: </w:t>
      </w:r>
    </w:p>
    <w:p w:rsidR="00356CAE" w:rsidRDefault="00356CAE" w:rsidP="00DA3026">
      <w:pPr>
        <w:pStyle w:val="ListParagraph"/>
        <w:numPr>
          <w:ilvl w:val="0"/>
          <w:numId w:val="21"/>
        </w:numPr>
      </w:pPr>
      <w:r>
        <w:t xml:space="preserve">In LTE, detaching a subscriber from the network by a bogus message from an attacker is not possible </w:t>
      </w:r>
      <w:r w:rsidR="00B84E28">
        <w:t xml:space="preserve">after NAS security has been enabled </w:t>
      </w:r>
      <w:r>
        <w:t>beca</w:t>
      </w:r>
      <w:r w:rsidR="00B84E28">
        <w:t>use a DETACH message from a UE</w:t>
      </w:r>
      <w:r>
        <w:t xml:space="preserve"> needs to be protected by NAS security. This property of an LTE system should be kept for </w:t>
      </w:r>
      <w:r w:rsidRPr="00356CAE">
        <w:t>LTE-WLAN aggregation</w:t>
      </w:r>
      <w:r w:rsidR="00DA3026">
        <w:t>. However</w:t>
      </w:r>
      <w:r>
        <w:t>,</w:t>
      </w:r>
      <w:r w:rsidR="00DA3026">
        <w:t xml:space="preserve"> </w:t>
      </w:r>
      <w:r w:rsidR="00B50F27">
        <w:t xml:space="preserve">in </w:t>
      </w:r>
      <w:r w:rsidR="00DA3026">
        <w:t>WLAN</w:t>
      </w:r>
      <w:r w:rsidR="00B50F27">
        <w:t>, an associated UE is identified by a MAC address and this can be easily spoofed.  If</w:t>
      </w:r>
      <w:r w:rsidR="00DA3026">
        <w:t xml:space="preserve"> integrity protection was not in place, an attacker could detach the UE from the WLAN access point</w:t>
      </w:r>
      <w:r w:rsidR="00B50F27">
        <w:t xml:space="preserve"> using the spoofed MAC address</w:t>
      </w:r>
      <w:r w:rsidR="00DA3026">
        <w:t xml:space="preserve">, achieving a similar effect to detaching it from the LTE system. </w:t>
      </w:r>
    </w:p>
    <w:p w:rsidR="00DA3026" w:rsidRDefault="00DA3026" w:rsidP="00DA3026">
      <w:pPr>
        <w:pStyle w:val="ListParagraph"/>
        <w:numPr>
          <w:ilvl w:val="0"/>
          <w:numId w:val="21"/>
        </w:numPr>
      </w:pPr>
      <w:r>
        <w:t>Furthermore, it is believed to be technically easier to inject traffic over a WLAN radio interface than over an LTE radio interface. It is true that the attacker would not be able to correctly protect the traffic at the PDCP level, and, hence, would have no control over the decrypted traffic cont</w:t>
      </w:r>
      <w:r w:rsidR="00B84E28">
        <w:t>ent, but the attacker could att</w:t>
      </w:r>
      <w:r>
        <w:t xml:space="preserve">empt using the traffic injection to overload the LTE system with garbage traffic, thus performing a Denial of Service attack. </w:t>
      </w:r>
    </w:p>
    <w:p w:rsidR="00DA3026" w:rsidRDefault="00DA3026" w:rsidP="00BD5C5C">
      <w:r>
        <w:t>The two above bullet points differentiat</w:t>
      </w:r>
      <w:r w:rsidR="00F8005B">
        <w:t>e</w:t>
      </w:r>
      <w:r>
        <w:t xml:space="preserve"> the LTE-WLAN aggregation case from the </w:t>
      </w:r>
      <w:r w:rsidR="000D2DB5">
        <w:t xml:space="preserve">case of a </w:t>
      </w:r>
      <w:r w:rsidRPr="00DA3026">
        <w:t>dual connectivity architecture which hosts PDCP in MeNB</w:t>
      </w:r>
      <w:r w:rsidR="000D2DB5">
        <w:t>, for which TS 33.401, Annex E.1 states that</w:t>
      </w:r>
      <w:r w:rsidRPr="00DA3026">
        <w:t xml:space="preserve"> the security functions described for the single connectivity mode in </w:t>
      </w:r>
      <w:r w:rsidR="000D2DB5">
        <w:t xml:space="preserve">TS 33.401 </w:t>
      </w:r>
      <w:r w:rsidRPr="00DA3026">
        <w:t>are sufficient.</w:t>
      </w:r>
    </w:p>
    <w:p w:rsidR="00DA3026" w:rsidRPr="00356CAE" w:rsidRDefault="00DA3026" w:rsidP="00DA3026">
      <w:pPr>
        <w:rPr>
          <w:b/>
          <w:sz w:val="24"/>
          <w:szCs w:val="24"/>
        </w:rPr>
      </w:pPr>
      <w:r>
        <w:rPr>
          <w:b/>
          <w:sz w:val="24"/>
          <w:szCs w:val="24"/>
        </w:rPr>
        <w:lastRenderedPageBreak/>
        <w:t>1.2</w:t>
      </w:r>
      <w:r w:rsidRPr="00356CAE">
        <w:rPr>
          <w:b/>
          <w:sz w:val="24"/>
          <w:szCs w:val="24"/>
        </w:rPr>
        <w:t xml:space="preserve"> </w:t>
      </w:r>
      <w:r>
        <w:rPr>
          <w:b/>
          <w:sz w:val="24"/>
          <w:szCs w:val="24"/>
        </w:rPr>
        <w:t>How could</w:t>
      </w:r>
      <w:r w:rsidRPr="00356CAE">
        <w:rPr>
          <w:b/>
          <w:sz w:val="24"/>
          <w:szCs w:val="24"/>
        </w:rPr>
        <w:t xml:space="preserve"> WLAN authentication and encryption </w:t>
      </w:r>
      <w:r>
        <w:rPr>
          <w:b/>
          <w:sz w:val="24"/>
          <w:szCs w:val="24"/>
        </w:rPr>
        <w:t>be established</w:t>
      </w:r>
      <w:r w:rsidRPr="00356CAE">
        <w:rPr>
          <w:b/>
          <w:sz w:val="24"/>
          <w:szCs w:val="24"/>
        </w:rPr>
        <w:t xml:space="preserve"> for LTE-WLAN aggregation?</w:t>
      </w:r>
    </w:p>
    <w:p w:rsidR="00F8005B" w:rsidRDefault="00DA3026" w:rsidP="00DA3026">
      <w:r>
        <w:t>We believe that security mechanisms very similar to those established in TS 33.401, Annex E on “</w:t>
      </w:r>
      <w:r w:rsidRPr="00717609">
        <w:rPr>
          <w:noProof/>
        </w:rPr>
        <w:t>Dual connectivity</w:t>
      </w:r>
      <w:r>
        <w:t xml:space="preserve">”, could be specified for LTE-WLAN aggregation. </w:t>
      </w:r>
      <w:r w:rsidR="00F8005B">
        <w:t xml:space="preserve">In particular, the </w:t>
      </w:r>
      <w:r w:rsidR="00F8005B" w:rsidRPr="00717609">
        <w:t xml:space="preserve">MeNB </w:t>
      </w:r>
      <w:r w:rsidR="00F8005B">
        <w:t xml:space="preserve">could </w:t>
      </w:r>
      <w:r w:rsidR="00F8005B" w:rsidRPr="00717609">
        <w:t>generate</w:t>
      </w:r>
      <w:r w:rsidR="00F8005B">
        <w:t xml:space="preserve"> a key</w:t>
      </w:r>
      <w:r w:rsidR="00F8005B" w:rsidRPr="00717609">
        <w:t xml:space="preserve"> </w:t>
      </w:r>
      <w:r w:rsidR="00F8005B">
        <w:t>W</w:t>
      </w:r>
      <w:r w:rsidR="00F8005B">
        <w:noBreakHyphen/>
      </w:r>
      <w:r w:rsidR="00F8005B" w:rsidRPr="00717609">
        <w:t>K</w:t>
      </w:r>
      <w:r w:rsidR="00F8005B" w:rsidRPr="00717609">
        <w:rPr>
          <w:vertAlign w:val="subscript"/>
        </w:rPr>
        <w:t>eNB</w:t>
      </w:r>
      <w:r w:rsidR="00F8005B" w:rsidRPr="00717609">
        <w:t xml:space="preserve"> for the </w:t>
      </w:r>
      <w:r w:rsidR="00F8005B">
        <w:t>WT</w:t>
      </w:r>
      <w:r w:rsidR="00F8005B" w:rsidRPr="00717609">
        <w:t xml:space="preserve"> and send it to the </w:t>
      </w:r>
      <w:r w:rsidR="00F8005B">
        <w:t>WT</w:t>
      </w:r>
      <w:r w:rsidR="00F8005B" w:rsidRPr="00717609">
        <w:t xml:space="preserve"> over the X</w:t>
      </w:r>
      <w:r w:rsidR="00F8005B">
        <w:t>w</w:t>
      </w:r>
      <w:r w:rsidR="00F8005B" w:rsidRPr="00717609">
        <w:t>-C</w:t>
      </w:r>
      <w:r w:rsidR="00F8005B">
        <w:t xml:space="preserve"> interface</w:t>
      </w:r>
      <w:r w:rsidR="00F8005B" w:rsidRPr="00717609">
        <w:t>.</w:t>
      </w:r>
      <w:r w:rsidR="00F8005B">
        <w:t xml:space="preserve"> This key W</w:t>
      </w:r>
      <w:r w:rsidR="00F8005B">
        <w:noBreakHyphen/>
      </w:r>
      <w:r w:rsidR="00F8005B" w:rsidRPr="00717609">
        <w:t>K</w:t>
      </w:r>
      <w:r w:rsidR="00F8005B" w:rsidRPr="00717609">
        <w:rPr>
          <w:vertAlign w:val="subscript"/>
        </w:rPr>
        <w:t>eNB</w:t>
      </w:r>
      <w:r w:rsidR="00F8005B" w:rsidRPr="00717609">
        <w:t xml:space="preserve"> </w:t>
      </w:r>
      <w:r w:rsidR="00F8005B">
        <w:t>could then be used</w:t>
      </w:r>
      <w:r w:rsidR="00B84E28">
        <w:t xml:space="preserve"> </w:t>
      </w:r>
      <w:r w:rsidR="00F8005B">
        <w:t xml:space="preserve">by the WT as the key PMK according to IEEE 802.11i for protecting the WLAN interface. </w:t>
      </w:r>
    </w:p>
    <w:p w:rsidR="00DA3026" w:rsidRDefault="00F8005B" w:rsidP="00DA3026">
      <w:r>
        <w:t>Freshness could be ensured in the same way as for dual connectivity by using a counter. It would be important, though, to ensure that there is input to the derivation of the key W</w:t>
      </w:r>
      <w:r>
        <w:noBreakHyphen/>
      </w:r>
      <w:proofErr w:type="gramStart"/>
      <w:r w:rsidRPr="00717609">
        <w:t>K</w:t>
      </w:r>
      <w:r w:rsidRPr="00717609">
        <w:rPr>
          <w:vertAlign w:val="subscript"/>
        </w:rPr>
        <w:t>eNB</w:t>
      </w:r>
      <w:r w:rsidRPr="00717609">
        <w:t xml:space="preserve"> </w:t>
      </w:r>
      <w:r>
        <w:t>,</w:t>
      </w:r>
      <w:proofErr w:type="gramEnd"/>
      <w:r>
        <w:t xml:space="preserve"> e.g. a constant string, that makes W</w:t>
      </w:r>
      <w:r>
        <w:noBreakHyphen/>
      </w:r>
      <w:r w:rsidRPr="00717609">
        <w:t>K</w:t>
      </w:r>
      <w:r w:rsidRPr="00717609">
        <w:rPr>
          <w:vertAlign w:val="subscript"/>
        </w:rPr>
        <w:t>eNB</w:t>
      </w:r>
      <w:r w:rsidRPr="00717609">
        <w:t xml:space="preserve"> </w:t>
      </w:r>
      <w:r>
        <w:t>different from S</w:t>
      </w:r>
      <w:r>
        <w:noBreakHyphen/>
      </w:r>
      <w:r w:rsidRPr="00717609">
        <w:t>K</w:t>
      </w:r>
      <w:r w:rsidRPr="00717609">
        <w:rPr>
          <w:vertAlign w:val="subscript"/>
        </w:rPr>
        <w:t>eNB</w:t>
      </w:r>
      <w:r>
        <w:t>.</w:t>
      </w:r>
    </w:p>
    <w:p w:rsidR="00F8005B" w:rsidRDefault="00F8005B" w:rsidP="00DA3026">
      <w:r>
        <w:t>SA3 would want to caution, though, that TS 33.401, Annex E, contains also considerations on “</w:t>
      </w:r>
      <w:r w:rsidRPr="00717609">
        <w:t>Addition and modification of DRB in SeNB</w:t>
      </w:r>
      <w:r>
        <w:t>”, “</w:t>
      </w:r>
      <w:r w:rsidRPr="00717609">
        <w:t>Activation of encryption/decryption</w:t>
      </w:r>
      <w:r>
        <w:t>”</w:t>
      </w:r>
      <w:r w:rsidR="00BC36EC">
        <w:t>, “</w:t>
      </w:r>
      <w:r w:rsidR="00BC36EC" w:rsidRPr="00717609">
        <w:t>Negotiation of security algorithms</w:t>
      </w:r>
      <w:r w:rsidR="00BC36EC">
        <w:t xml:space="preserve">”, key update and some other topics that may result in differences between security for the dual connectivity case and the LTE-WLAN aggregation case. </w:t>
      </w:r>
    </w:p>
    <w:p w:rsidR="006317FB" w:rsidRDefault="006317FB" w:rsidP="006317FB">
      <w:pPr>
        <w:pStyle w:val="Heading1"/>
      </w:pPr>
      <w:r>
        <w:t>Proposal</w:t>
      </w:r>
    </w:p>
    <w:p w:rsidR="00F8005B" w:rsidRDefault="006317FB" w:rsidP="006317FB">
      <w:r>
        <w:t xml:space="preserve">We propose to adopt the above text as a basis for a reply to RAN2. </w:t>
      </w:r>
    </w:p>
    <w:p w:rsidR="00DA3026" w:rsidRDefault="00DA3026" w:rsidP="00BD5C5C"/>
    <w:p w:rsidR="00DA3026" w:rsidRDefault="00DA3026" w:rsidP="00BD5C5C"/>
    <w:p w:rsidR="00BD5C5C" w:rsidRPr="006A3312" w:rsidRDefault="00BD5C5C" w:rsidP="00BD5C5C"/>
    <w:sectPr w:rsidR="00BD5C5C" w:rsidRPr="006A3312"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795" w:rsidRDefault="00281795" w:rsidP="00AB6FEB">
      <w:pPr>
        <w:spacing w:after="0"/>
      </w:pPr>
      <w:r>
        <w:separator/>
      </w:r>
    </w:p>
  </w:endnote>
  <w:endnote w:type="continuationSeparator" w:id="0">
    <w:p w:rsidR="00281795" w:rsidRDefault="00281795"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795" w:rsidRDefault="00281795" w:rsidP="00AB6FEB">
      <w:pPr>
        <w:spacing w:after="0"/>
      </w:pPr>
      <w:r>
        <w:separator/>
      </w:r>
    </w:p>
  </w:footnote>
  <w:footnote w:type="continuationSeparator" w:id="0">
    <w:p w:rsidR="00281795" w:rsidRDefault="00281795"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23193896"/>
    <w:multiLevelType w:val="hybridMultilevel"/>
    <w:tmpl w:val="1A8600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2">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6"/>
  </w:num>
  <w:num w:numId="7">
    <w:abstractNumId w:val="5"/>
  </w:num>
  <w:num w:numId="8">
    <w:abstractNumId w:val="7"/>
  </w:num>
  <w:num w:numId="9">
    <w:abstractNumId w:val="2"/>
  </w:num>
  <w:num w:numId="10">
    <w:abstractNumId w:val="13"/>
  </w:num>
  <w:num w:numId="11">
    <w:abstractNumId w:val="14"/>
  </w:num>
  <w:num w:numId="12">
    <w:abstractNumId w:val="12"/>
  </w:num>
  <w:num w:numId="13">
    <w:abstractNumId w:val="15"/>
  </w:num>
  <w:num w:numId="14">
    <w:abstractNumId w:val="1"/>
  </w:num>
  <w:num w:numId="15">
    <w:abstractNumId w:val="0"/>
  </w:num>
  <w:num w:numId="16">
    <w:abstractNumId w:val="9"/>
  </w:num>
  <w:num w:numId="17">
    <w:abstractNumId w:val="19"/>
  </w:num>
  <w:num w:numId="18">
    <w:abstractNumId w:val="20"/>
  </w:num>
  <w:num w:numId="19">
    <w:abstractNumId w:val="16"/>
  </w:num>
  <w:num w:numId="20">
    <w:abstractNumId w:val="17"/>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63490"/>
  </w:hdrShapeDefaults>
  <w:footnotePr>
    <w:footnote w:id="-1"/>
    <w:footnote w:id="0"/>
  </w:footnotePr>
  <w:endnotePr>
    <w:endnote w:id="-1"/>
    <w:endnote w:id="0"/>
  </w:endnotePr>
  <w:compat>
    <w:useFELayout/>
  </w:compat>
  <w:rsids>
    <w:rsidRoot w:val="00FC3886"/>
    <w:rsid w:val="000004A0"/>
    <w:rsid w:val="00006362"/>
    <w:rsid w:val="00016C76"/>
    <w:rsid w:val="000209E2"/>
    <w:rsid w:val="00031C05"/>
    <w:rsid w:val="00043BB0"/>
    <w:rsid w:val="0006221D"/>
    <w:rsid w:val="00077A21"/>
    <w:rsid w:val="0009512E"/>
    <w:rsid w:val="000A155B"/>
    <w:rsid w:val="000C0092"/>
    <w:rsid w:val="000D2DB5"/>
    <w:rsid w:val="000E4A79"/>
    <w:rsid w:val="000E7880"/>
    <w:rsid w:val="000F27D3"/>
    <w:rsid w:val="00117B1D"/>
    <w:rsid w:val="001378DB"/>
    <w:rsid w:val="00170396"/>
    <w:rsid w:val="00170B7C"/>
    <w:rsid w:val="00170D56"/>
    <w:rsid w:val="001B1B41"/>
    <w:rsid w:val="001B3697"/>
    <w:rsid w:val="002021C0"/>
    <w:rsid w:val="0021246E"/>
    <w:rsid w:val="0026622E"/>
    <w:rsid w:val="00266D4F"/>
    <w:rsid w:val="00281795"/>
    <w:rsid w:val="00281E88"/>
    <w:rsid w:val="00285B85"/>
    <w:rsid w:val="002909FA"/>
    <w:rsid w:val="0029102E"/>
    <w:rsid w:val="002D23BB"/>
    <w:rsid w:val="002E621F"/>
    <w:rsid w:val="002E7141"/>
    <w:rsid w:val="002F07BF"/>
    <w:rsid w:val="002F2B15"/>
    <w:rsid w:val="00356CAE"/>
    <w:rsid w:val="00375EB2"/>
    <w:rsid w:val="003936B3"/>
    <w:rsid w:val="003A496C"/>
    <w:rsid w:val="003E32F5"/>
    <w:rsid w:val="004128AF"/>
    <w:rsid w:val="004140C0"/>
    <w:rsid w:val="004336F8"/>
    <w:rsid w:val="00470FF5"/>
    <w:rsid w:val="00481B0E"/>
    <w:rsid w:val="0048699C"/>
    <w:rsid w:val="004A7B7F"/>
    <w:rsid w:val="004D3B38"/>
    <w:rsid w:val="004F4478"/>
    <w:rsid w:val="004F6F00"/>
    <w:rsid w:val="00515D62"/>
    <w:rsid w:val="00520636"/>
    <w:rsid w:val="00557F36"/>
    <w:rsid w:val="00564932"/>
    <w:rsid w:val="0058347C"/>
    <w:rsid w:val="00593FA3"/>
    <w:rsid w:val="005A02E3"/>
    <w:rsid w:val="005B7F0C"/>
    <w:rsid w:val="00602DE5"/>
    <w:rsid w:val="006317FB"/>
    <w:rsid w:val="006411F3"/>
    <w:rsid w:val="00651857"/>
    <w:rsid w:val="00671F3E"/>
    <w:rsid w:val="00696F43"/>
    <w:rsid w:val="006A08A3"/>
    <w:rsid w:val="006A2C31"/>
    <w:rsid w:val="006A3312"/>
    <w:rsid w:val="006A5339"/>
    <w:rsid w:val="006B023A"/>
    <w:rsid w:val="006B6CC6"/>
    <w:rsid w:val="006C5F57"/>
    <w:rsid w:val="006D4E58"/>
    <w:rsid w:val="00767BD3"/>
    <w:rsid w:val="00781505"/>
    <w:rsid w:val="007928AD"/>
    <w:rsid w:val="007962E7"/>
    <w:rsid w:val="007C09F0"/>
    <w:rsid w:val="007C60D9"/>
    <w:rsid w:val="00814CC0"/>
    <w:rsid w:val="0082158B"/>
    <w:rsid w:val="00852D13"/>
    <w:rsid w:val="0087480C"/>
    <w:rsid w:val="00887451"/>
    <w:rsid w:val="008E64DA"/>
    <w:rsid w:val="00907FED"/>
    <w:rsid w:val="00912B0E"/>
    <w:rsid w:val="00934FA4"/>
    <w:rsid w:val="009463EE"/>
    <w:rsid w:val="00977D9F"/>
    <w:rsid w:val="00985665"/>
    <w:rsid w:val="00992F3C"/>
    <w:rsid w:val="009B23B2"/>
    <w:rsid w:val="009C2D01"/>
    <w:rsid w:val="00A428A1"/>
    <w:rsid w:val="00A61674"/>
    <w:rsid w:val="00A71C21"/>
    <w:rsid w:val="00A7702A"/>
    <w:rsid w:val="00A81663"/>
    <w:rsid w:val="00A9422A"/>
    <w:rsid w:val="00AB6FEB"/>
    <w:rsid w:val="00AC673E"/>
    <w:rsid w:val="00AD06A6"/>
    <w:rsid w:val="00B11688"/>
    <w:rsid w:val="00B3117E"/>
    <w:rsid w:val="00B37380"/>
    <w:rsid w:val="00B43EAA"/>
    <w:rsid w:val="00B50F27"/>
    <w:rsid w:val="00B84E28"/>
    <w:rsid w:val="00B94E2C"/>
    <w:rsid w:val="00BC36EC"/>
    <w:rsid w:val="00BD5C5C"/>
    <w:rsid w:val="00BE4961"/>
    <w:rsid w:val="00C1661C"/>
    <w:rsid w:val="00C26CE2"/>
    <w:rsid w:val="00C338D3"/>
    <w:rsid w:val="00C60C82"/>
    <w:rsid w:val="00C81980"/>
    <w:rsid w:val="00CA3A18"/>
    <w:rsid w:val="00CC1123"/>
    <w:rsid w:val="00CC526D"/>
    <w:rsid w:val="00CE190E"/>
    <w:rsid w:val="00D01F5F"/>
    <w:rsid w:val="00D035AE"/>
    <w:rsid w:val="00D839D8"/>
    <w:rsid w:val="00D86074"/>
    <w:rsid w:val="00DA2F20"/>
    <w:rsid w:val="00DA3026"/>
    <w:rsid w:val="00DC58B8"/>
    <w:rsid w:val="00DC6251"/>
    <w:rsid w:val="00DD79F3"/>
    <w:rsid w:val="00E6565D"/>
    <w:rsid w:val="00E84A06"/>
    <w:rsid w:val="00EA5FCD"/>
    <w:rsid w:val="00EA7219"/>
    <w:rsid w:val="00EB4782"/>
    <w:rsid w:val="00EB5C03"/>
    <w:rsid w:val="00EE65A8"/>
    <w:rsid w:val="00F04E87"/>
    <w:rsid w:val="00F715F3"/>
    <w:rsid w:val="00F8005B"/>
    <w:rsid w:val="00FB40BE"/>
    <w:rsid w:val="00FC3886"/>
    <w:rsid w:val="00FD29DC"/>
    <w:rsid w:val="00FD3023"/>
    <w:rsid w:val="00FD4E8B"/>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6E189-EC46-4A86-B992-1C18DE30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2</cp:revision>
  <dcterms:created xsi:type="dcterms:W3CDTF">2015-08-15T14:21:00Z</dcterms:created>
  <dcterms:modified xsi:type="dcterms:W3CDTF">2015-08-15T14:21:00Z</dcterms:modified>
</cp:coreProperties>
</file>